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0D954" w14:textId="77777777" w:rsidR="00B050F3" w:rsidRPr="005F297F" w:rsidRDefault="00B050F3" w:rsidP="001E094F">
      <w:pPr>
        <w:jc w:val="center"/>
        <w:rPr>
          <w:rFonts w:ascii="Arial" w:hAnsi="Arial" w:cs="Arial"/>
        </w:rPr>
      </w:pPr>
      <w:r w:rsidRPr="005F297F">
        <w:rPr>
          <w:rFonts w:ascii="Arial" w:hAnsi="Arial" w:cs="Arial"/>
        </w:rPr>
        <w:t>ANEXO XIV</w:t>
      </w:r>
    </w:p>
    <w:p w14:paraId="3E9E668C" w14:textId="77777777" w:rsidR="00B050F3" w:rsidRPr="005F297F" w:rsidRDefault="00B050F3" w:rsidP="001E094F">
      <w:pPr>
        <w:pBdr>
          <w:top w:val="single" w:sz="4" w:space="1" w:color="auto"/>
          <w:left w:val="single" w:sz="4" w:space="4" w:color="auto"/>
          <w:bottom w:val="single" w:sz="4" w:space="1" w:color="auto"/>
          <w:right w:val="single" w:sz="4" w:space="4" w:color="auto"/>
        </w:pBdr>
        <w:jc w:val="center"/>
        <w:rPr>
          <w:rFonts w:ascii="Arial" w:hAnsi="Arial" w:cs="Arial"/>
        </w:rPr>
      </w:pPr>
      <w:r w:rsidRPr="005F297F">
        <w:rPr>
          <w:rFonts w:ascii="Arial" w:hAnsi="Arial" w:cs="Arial"/>
        </w:rPr>
        <w:t>TRATAMIENTO DE LOS PECES MUERTOS Y/O PERDIDOS</w:t>
      </w:r>
    </w:p>
    <w:p w14:paraId="5DD0EC70" w14:textId="77777777" w:rsidR="00B050F3" w:rsidRPr="005F297F" w:rsidRDefault="00B050F3" w:rsidP="00B050F3">
      <w:pPr>
        <w:jc w:val="both"/>
        <w:rPr>
          <w:rFonts w:ascii="Arial" w:hAnsi="Arial" w:cs="Arial"/>
        </w:rPr>
      </w:pPr>
      <w:r w:rsidRPr="005F297F">
        <w:rPr>
          <w:rFonts w:ascii="Arial" w:hAnsi="Arial" w:cs="Arial"/>
        </w:rPr>
        <w:t xml:space="preserve">                   </w:t>
      </w:r>
    </w:p>
    <w:p w14:paraId="330B6DE3" w14:textId="77777777" w:rsidR="00B050F3" w:rsidRPr="005F297F" w:rsidRDefault="00B050F3" w:rsidP="00B050F3">
      <w:pPr>
        <w:jc w:val="both"/>
        <w:rPr>
          <w:rFonts w:ascii="Arial" w:hAnsi="Arial" w:cs="Arial"/>
        </w:rPr>
      </w:pPr>
      <w:r w:rsidRPr="005F297F">
        <w:rPr>
          <w:rFonts w:ascii="Arial" w:hAnsi="Arial" w:cs="Arial"/>
        </w:rPr>
        <w:t xml:space="preserve">Registro de atún rojo muertos o perdidos </w:t>
      </w:r>
    </w:p>
    <w:p w14:paraId="58837834" w14:textId="77777777" w:rsidR="00B050F3" w:rsidRPr="005F297F" w:rsidRDefault="00B050F3" w:rsidP="00B050F3">
      <w:pPr>
        <w:jc w:val="both"/>
        <w:rPr>
          <w:rFonts w:ascii="Arial" w:hAnsi="Arial" w:cs="Arial"/>
        </w:rPr>
      </w:pPr>
      <w:r w:rsidRPr="005F297F">
        <w:rPr>
          <w:rFonts w:ascii="Arial" w:hAnsi="Arial" w:cs="Arial"/>
        </w:rPr>
        <w:t xml:space="preserve">1. El número de atunes rojos que mueren durante cualquier operación regulada en esta Recomendación será comunicado por el operador donante en el caso de operaciones de transferencia y transporte asociado, o por el operador de la granja en el caso de operaciones de introducción en jaulas o actividades de cría y se deducirá de la cuota de la CPC pertinente. </w:t>
      </w:r>
    </w:p>
    <w:p w14:paraId="46A73B75" w14:textId="77777777" w:rsidR="00B050F3" w:rsidRPr="005F297F" w:rsidRDefault="00B050F3" w:rsidP="00B050F3">
      <w:pPr>
        <w:jc w:val="both"/>
        <w:rPr>
          <w:rFonts w:ascii="Arial" w:hAnsi="Arial" w:cs="Arial"/>
        </w:rPr>
      </w:pPr>
      <w:r w:rsidRPr="005F297F">
        <w:rPr>
          <w:rFonts w:ascii="Arial" w:hAnsi="Arial" w:cs="Arial"/>
        </w:rPr>
        <w:t xml:space="preserve">2. A los efectos del presente Anexo, por peces perdidos se entienden los ejemplares de atún rojo que faltan, que, tras las posibles diferencias detectadas durante las pertinentes </w:t>
      </w:r>
      <w:r w:rsidR="00F66EC8" w:rsidRPr="005F297F">
        <w:rPr>
          <w:rFonts w:ascii="Arial" w:hAnsi="Arial" w:cs="Arial"/>
        </w:rPr>
        <w:t xml:space="preserve">investigaciones </w:t>
      </w:r>
      <w:r w:rsidRPr="005F297F">
        <w:rPr>
          <w:rFonts w:ascii="Arial" w:hAnsi="Arial" w:cs="Arial"/>
        </w:rPr>
        <w:t>no se han justificado como mortalidades.</w:t>
      </w:r>
    </w:p>
    <w:p w14:paraId="18A0C5CF" w14:textId="77777777" w:rsidR="00B050F3" w:rsidRPr="005F297F" w:rsidRDefault="00B050F3" w:rsidP="00B050F3">
      <w:pPr>
        <w:jc w:val="both"/>
        <w:rPr>
          <w:rFonts w:ascii="Arial" w:hAnsi="Arial" w:cs="Arial"/>
        </w:rPr>
      </w:pPr>
    </w:p>
    <w:p w14:paraId="6AD1428E" w14:textId="77777777" w:rsidR="00B050F3" w:rsidRPr="005F297F" w:rsidRDefault="00B050F3" w:rsidP="00B050F3">
      <w:pPr>
        <w:jc w:val="both"/>
        <w:rPr>
          <w:rFonts w:ascii="Arial" w:hAnsi="Arial" w:cs="Arial"/>
        </w:rPr>
      </w:pPr>
      <w:r w:rsidRPr="005F297F">
        <w:rPr>
          <w:rFonts w:ascii="Arial" w:hAnsi="Arial" w:cs="Arial"/>
        </w:rPr>
        <w:t xml:space="preserve">Tratamiento de los peces que mueren durante la primera transferencia </w:t>
      </w:r>
    </w:p>
    <w:p w14:paraId="78F32FCD" w14:textId="77777777" w:rsidR="00B050F3" w:rsidRPr="005F297F" w:rsidRDefault="00B050F3" w:rsidP="00B050F3">
      <w:pPr>
        <w:jc w:val="both"/>
        <w:rPr>
          <w:rFonts w:ascii="Arial" w:hAnsi="Arial" w:cs="Arial"/>
        </w:rPr>
      </w:pPr>
      <w:r w:rsidRPr="005F297F">
        <w:rPr>
          <w:rFonts w:ascii="Arial" w:hAnsi="Arial" w:cs="Arial"/>
        </w:rPr>
        <w:t xml:space="preserve">3. El atún rojo que muere durante la primera transferencia desde un cerquero o una almadraba se registrará en el cuaderno de pesca del cerquero o en el informe de captura diario de la almadraba, y se comunicará en la Declaración de transferencia de ICCAT (ITD) y en la sección de transferencia del </w:t>
      </w:r>
      <w:proofErr w:type="spellStart"/>
      <w:r w:rsidRPr="005F297F">
        <w:rPr>
          <w:rFonts w:ascii="Arial" w:hAnsi="Arial" w:cs="Arial"/>
        </w:rPr>
        <w:t>eBCD</w:t>
      </w:r>
      <w:proofErr w:type="spellEnd"/>
      <w:r w:rsidRPr="005F297F">
        <w:rPr>
          <w:rFonts w:ascii="Arial" w:hAnsi="Arial" w:cs="Arial"/>
        </w:rPr>
        <w:t xml:space="preserve">. </w:t>
      </w:r>
    </w:p>
    <w:p w14:paraId="247DD32B" w14:textId="77777777" w:rsidR="00B050F3" w:rsidRPr="005F297F" w:rsidRDefault="00B050F3" w:rsidP="00B050F3">
      <w:pPr>
        <w:jc w:val="both"/>
        <w:rPr>
          <w:rFonts w:ascii="Arial" w:hAnsi="Arial" w:cs="Arial"/>
        </w:rPr>
      </w:pPr>
      <w:r w:rsidRPr="005F297F">
        <w:rPr>
          <w:rFonts w:ascii="Arial" w:hAnsi="Arial" w:cs="Arial"/>
        </w:rPr>
        <w:t xml:space="preserve">4. Deberá facilitarse al remolcador(es) el </w:t>
      </w:r>
      <w:proofErr w:type="spellStart"/>
      <w:r w:rsidRPr="005F297F">
        <w:rPr>
          <w:rFonts w:ascii="Arial" w:hAnsi="Arial" w:cs="Arial"/>
        </w:rPr>
        <w:t>eBCD</w:t>
      </w:r>
      <w:proofErr w:type="spellEnd"/>
      <w:r w:rsidRPr="005F297F">
        <w:rPr>
          <w:rFonts w:ascii="Arial" w:hAnsi="Arial" w:cs="Arial"/>
        </w:rPr>
        <w:t xml:space="preserve"> con la sección 2 (captura total), la sección 3 (comercio de peces vivos) y la sección 4 (Transferencia - incluidos los peces "muertos") cumplimentadas. </w:t>
      </w:r>
    </w:p>
    <w:p w14:paraId="703594BF" w14:textId="77777777" w:rsidR="00DC537A" w:rsidRDefault="00164800" w:rsidP="00B050F3">
      <w:pPr>
        <w:jc w:val="both"/>
        <w:rPr>
          <w:rFonts w:ascii="Arial" w:hAnsi="Arial" w:cs="Arial"/>
        </w:rPr>
      </w:pPr>
      <w:r>
        <w:rPr>
          <w:rFonts w:ascii="Arial" w:hAnsi="Arial" w:cs="Arial"/>
        </w:rPr>
        <w:t xml:space="preserve">5. </w:t>
      </w:r>
      <w:r w:rsidRPr="00164800">
        <w:rPr>
          <w:rFonts w:ascii="Arial" w:hAnsi="Arial" w:cs="Arial"/>
        </w:rPr>
        <w:t xml:space="preserve">En la sección 2 se incluirán todos los ejemplares capturados. Las cantidades totales declaradas en las secciones 3 (comercio de peces vivos) y 4 (transferencia) del </w:t>
      </w:r>
      <w:proofErr w:type="spellStart"/>
      <w:r w:rsidRPr="00164800">
        <w:rPr>
          <w:rFonts w:ascii="Arial" w:hAnsi="Arial" w:cs="Arial"/>
        </w:rPr>
        <w:t>eBCD</w:t>
      </w:r>
      <w:proofErr w:type="spellEnd"/>
      <w:r w:rsidRPr="00164800">
        <w:rPr>
          <w:rFonts w:ascii="Arial" w:hAnsi="Arial" w:cs="Arial"/>
        </w:rPr>
        <w:t xml:space="preserve"> (lo que incluye los ejemplares muertos) deberán ser iguales a las cantidades declaradas en la sección 2, tras deducir todas las mortalidades observadas entre la captura y el final de la transferencia.</w:t>
      </w:r>
    </w:p>
    <w:p w14:paraId="3528D9C2" w14:textId="3950EA34" w:rsidR="00DC537A" w:rsidRDefault="00B050F3" w:rsidP="00B050F3">
      <w:pPr>
        <w:jc w:val="both"/>
        <w:rPr>
          <w:rFonts w:ascii="Arial" w:hAnsi="Arial" w:cs="Arial"/>
        </w:rPr>
      </w:pPr>
      <w:r w:rsidRPr="005F297F">
        <w:rPr>
          <w:rFonts w:ascii="Arial" w:hAnsi="Arial" w:cs="Arial"/>
        </w:rPr>
        <w:t xml:space="preserve">6. El </w:t>
      </w:r>
      <w:proofErr w:type="spellStart"/>
      <w:r w:rsidRPr="005F297F">
        <w:rPr>
          <w:rFonts w:ascii="Arial" w:hAnsi="Arial" w:cs="Arial"/>
        </w:rPr>
        <w:t>eBCD</w:t>
      </w:r>
      <w:proofErr w:type="spellEnd"/>
      <w:r w:rsidRPr="005F297F">
        <w:rPr>
          <w:rFonts w:ascii="Arial" w:hAnsi="Arial" w:cs="Arial"/>
        </w:rPr>
        <w:t xml:space="preserve"> deberá ir acompañado de la ITD de conformidad con las disposiciones de esta Recomendación. </w:t>
      </w:r>
      <w:r w:rsidRPr="00DC537A">
        <w:rPr>
          <w:rFonts w:ascii="Arial" w:hAnsi="Arial" w:cs="Arial"/>
        </w:rPr>
        <w:t xml:space="preserve">El número de atunes rojos declarado en la ITD (transferidos vivos) debe ser igual al número declarado en la sección 3 del </w:t>
      </w:r>
      <w:proofErr w:type="spellStart"/>
      <w:r w:rsidRPr="00DC537A">
        <w:rPr>
          <w:rFonts w:ascii="Arial" w:hAnsi="Arial" w:cs="Arial"/>
        </w:rPr>
        <w:t>eBCD</w:t>
      </w:r>
      <w:proofErr w:type="spellEnd"/>
      <w:r w:rsidRPr="00DC537A">
        <w:rPr>
          <w:rFonts w:ascii="Arial" w:hAnsi="Arial" w:cs="Arial"/>
        </w:rPr>
        <w:t xml:space="preserve"> asociado.</w:t>
      </w:r>
    </w:p>
    <w:p w14:paraId="076E1C26" w14:textId="77777777" w:rsidR="00B050F3" w:rsidRPr="005F297F" w:rsidRDefault="00B050F3" w:rsidP="00B050F3">
      <w:pPr>
        <w:jc w:val="both"/>
        <w:rPr>
          <w:rFonts w:ascii="Arial" w:hAnsi="Arial" w:cs="Arial"/>
        </w:rPr>
      </w:pPr>
      <w:r w:rsidRPr="005F297F">
        <w:rPr>
          <w:rFonts w:ascii="Arial" w:hAnsi="Arial" w:cs="Arial"/>
        </w:rPr>
        <w:t xml:space="preserve">7. Deberá cumplimentarse una copia del </w:t>
      </w:r>
      <w:proofErr w:type="spellStart"/>
      <w:r w:rsidRPr="005F297F">
        <w:rPr>
          <w:rFonts w:ascii="Arial" w:hAnsi="Arial" w:cs="Arial"/>
        </w:rPr>
        <w:t>eBCD</w:t>
      </w:r>
      <w:proofErr w:type="spellEnd"/>
      <w:r w:rsidRPr="005F297F">
        <w:rPr>
          <w:rFonts w:ascii="Arial" w:hAnsi="Arial" w:cs="Arial"/>
        </w:rPr>
        <w:t xml:space="preserve"> con la sección 8 (Información comercial) y entregarse al buque auxiliar, que transportará el atún rojo muerto a tierra (o se mantendrá en el buque de captura o en la almadraba si es desembarcado directamente a tierra). Estos peces muertos y la copia del </w:t>
      </w:r>
      <w:proofErr w:type="spellStart"/>
      <w:r w:rsidRPr="005F297F">
        <w:rPr>
          <w:rFonts w:ascii="Arial" w:hAnsi="Arial" w:cs="Arial"/>
        </w:rPr>
        <w:t>eBCD</w:t>
      </w:r>
      <w:proofErr w:type="spellEnd"/>
      <w:r w:rsidRPr="005F297F">
        <w:rPr>
          <w:rFonts w:ascii="Arial" w:hAnsi="Arial" w:cs="Arial"/>
        </w:rPr>
        <w:t xml:space="preserve"> deberán ir acompañados de una copia de la ITD. </w:t>
      </w:r>
    </w:p>
    <w:p w14:paraId="4F30B31E" w14:textId="7F90DBBD" w:rsidR="00164800" w:rsidRDefault="00B050F3" w:rsidP="00B050F3">
      <w:pPr>
        <w:jc w:val="both"/>
        <w:rPr>
          <w:rFonts w:ascii="Arial" w:hAnsi="Arial" w:cs="Arial"/>
        </w:rPr>
      </w:pPr>
      <w:r w:rsidRPr="005F297F">
        <w:rPr>
          <w:rFonts w:ascii="Arial" w:hAnsi="Arial" w:cs="Arial"/>
        </w:rPr>
        <w:t xml:space="preserve">8. Respecto al </w:t>
      </w:r>
      <w:proofErr w:type="spellStart"/>
      <w:r w:rsidRPr="005F297F">
        <w:rPr>
          <w:rFonts w:ascii="Arial" w:hAnsi="Arial" w:cs="Arial"/>
        </w:rPr>
        <w:t>eBCD</w:t>
      </w:r>
      <w:proofErr w:type="spellEnd"/>
      <w:r w:rsidRPr="005F297F">
        <w:rPr>
          <w:rFonts w:ascii="Arial" w:hAnsi="Arial" w:cs="Arial"/>
        </w:rPr>
        <w:t xml:space="preserve">, el pez muerto será asignado al buque de captura que realizó la captura o, en el caso de las JFO, a los buques de captura o pabellones participantes. </w:t>
      </w:r>
    </w:p>
    <w:p w14:paraId="263AA30A" w14:textId="08E4DE4C" w:rsidR="00B050F3" w:rsidRPr="005F297F" w:rsidRDefault="00B050F3" w:rsidP="00B050F3">
      <w:pPr>
        <w:jc w:val="both"/>
        <w:rPr>
          <w:rFonts w:ascii="Arial" w:hAnsi="Arial" w:cs="Arial"/>
        </w:rPr>
      </w:pPr>
      <w:r w:rsidRPr="005F297F">
        <w:rPr>
          <w:rFonts w:ascii="Arial" w:hAnsi="Arial" w:cs="Arial"/>
        </w:rPr>
        <w:t xml:space="preserve">Tratamiento de los peces que mueren y/o se pierden durante posteriores trasferencias y operaciones de transporte </w:t>
      </w:r>
    </w:p>
    <w:p w14:paraId="328D8A2E" w14:textId="77777777" w:rsidR="00B050F3" w:rsidRPr="005F297F" w:rsidRDefault="00B050F3" w:rsidP="00B050F3">
      <w:pPr>
        <w:jc w:val="both"/>
        <w:rPr>
          <w:rFonts w:ascii="Arial" w:hAnsi="Arial" w:cs="Arial"/>
        </w:rPr>
      </w:pPr>
      <w:r w:rsidRPr="005F297F">
        <w:rPr>
          <w:rFonts w:ascii="Arial" w:hAnsi="Arial" w:cs="Arial"/>
        </w:rPr>
        <w:t>9. Los remolcadores informarán, utilizando el modelo adjunto a este Anexo, de todo el atún rojo muerto durante el transporte. Las líneas individuales serán completadas por el patrón cada vez que se detecte el evento de muerte o pérdida.</w:t>
      </w:r>
    </w:p>
    <w:p w14:paraId="7AFACE7D" w14:textId="77777777" w:rsidR="00B050F3" w:rsidRPr="005F297F" w:rsidRDefault="00B050F3" w:rsidP="00B050F3">
      <w:pPr>
        <w:jc w:val="both"/>
        <w:rPr>
          <w:rFonts w:ascii="Arial" w:hAnsi="Arial" w:cs="Arial"/>
        </w:rPr>
      </w:pPr>
      <w:r w:rsidRPr="005F297F">
        <w:rPr>
          <w:rFonts w:ascii="Arial" w:hAnsi="Arial" w:cs="Arial"/>
        </w:rPr>
        <w:lastRenderedPageBreak/>
        <w:t xml:space="preserve">10. En caso de nuevas transferencias, el patrón del remolcador donante debe proporcionar el original del informe al patrón del remolcador que recibe el atún rojo, conservando una copia a bordo durante toda la campaña. </w:t>
      </w:r>
    </w:p>
    <w:p w14:paraId="02D09211" w14:textId="18405182" w:rsidR="00B050F3" w:rsidRPr="005F297F" w:rsidRDefault="00B050F3" w:rsidP="00B050F3">
      <w:pPr>
        <w:jc w:val="both"/>
        <w:rPr>
          <w:rFonts w:ascii="Arial" w:hAnsi="Arial" w:cs="Arial"/>
        </w:rPr>
      </w:pPr>
      <w:r w:rsidRPr="005F297F">
        <w:rPr>
          <w:rFonts w:ascii="Arial" w:hAnsi="Arial" w:cs="Arial"/>
        </w:rPr>
        <w:t xml:space="preserve">11. A la llegada de una jaula de transporte a la granja de destino, el patrón del remolcador entregará el juego completo de informes relacionados con atunes rojos muertos a la autoridad competente del Estado </w:t>
      </w:r>
      <w:r w:rsidR="00164800">
        <w:rPr>
          <w:rFonts w:ascii="Arial" w:hAnsi="Arial" w:cs="Arial"/>
        </w:rPr>
        <w:t>m</w:t>
      </w:r>
      <w:r w:rsidRPr="005F297F">
        <w:rPr>
          <w:rFonts w:ascii="Arial" w:hAnsi="Arial" w:cs="Arial"/>
        </w:rPr>
        <w:t xml:space="preserve">iembro de la granja utilizando el modelo adjunto al presente Anexo. </w:t>
      </w:r>
    </w:p>
    <w:p w14:paraId="16804502" w14:textId="026C85F8" w:rsidR="00B050F3" w:rsidRPr="005F297F" w:rsidRDefault="00B050F3" w:rsidP="00B050F3">
      <w:pPr>
        <w:jc w:val="both"/>
        <w:rPr>
          <w:rFonts w:ascii="Arial" w:hAnsi="Arial" w:cs="Arial"/>
        </w:rPr>
      </w:pPr>
      <w:r w:rsidRPr="005F297F">
        <w:rPr>
          <w:rFonts w:ascii="Arial" w:hAnsi="Arial" w:cs="Arial"/>
        </w:rPr>
        <w:t xml:space="preserve">12. A los efectos de la utilización de la cuota que determine el Estado </w:t>
      </w:r>
      <w:r w:rsidR="00164800">
        <w:rPr>
          <w:rFonts w:ascii="Arial" w:hAnsi="Arial" w:cs="Arial"/>
        </w:rPr>
        <w:t>m</w:t>
      </w:r>
      <w:r w:rsidRPr="005F297F">
        <w:rPr>
          <w:rFonts w:ascii="Arial" w:hAnsi="Arial" w:cs="Arial"/>
        </w:rPr>
        <w:t xml:space="preserve">iembro del pabellón o de la almadraba, el peso de los peces que mueren o se pierden durante el transporte se evaluará de la siguiente manera: </w:t>
      </w:r>
    </w:p>
    <w:p w14:paraId="51E4255C" w14:textId="77777777" w:rsidR="00B050F3" w:rsidRPr="005F297F" w:rsidRDefault="00B050F3" w:rsidP="005F297F">
      <w:pPr>
        <w:jc w:val="both"/>
        <w:rPr>
          <w:rFonts w:ascii="Arial" w:hAnsi="Arial" w:cs="Arial"/>
        </w:rPr>
      </w:pPr>
      <w:r w:rsidRPr="005F297F">
        <w:rPr>
          <w:rFonts w:ascii="Arial" w:hAnsi="Arial" w:cs="Arial"/>
        </w:rPr>
        <w:t xml:space="preserve">a) para los peces muertos </w:t>
      </w:r>
    </w:p>
    <w:p w14:paraId="387A1DC7" w14:textId="77777777" w:rsidR="00B050F3" w:rsidRPr="005F297F" w:rsidRDefault="00B050F3" w:rsidP="005F297F">
      <w:pPr>
        <w:jc w:val="both"/>
        <w:rPr>
          <w:rFonts w:ascii="Arial" w:hAnsi="Arial" w:cs="Arial"/>
        </w:rPr>
      </w:pPr>
      <w:r w:rsidRPr="005F297F">
        <w:rPr>
          <w:rFonts w:ascii="Arial" w:hAnsi="Arial" w:cs="Arial"/>
        </w:rPr>
        <w:t>i. en caso de desembarque, se aplicará el peso efectivo en el desembarque;</w:t>
      </w:r>
    </w:p>
    <w:p w14:paraId="3FD52F96" w14:textId="77777777" w:rsidR="00B050F3" w:rsidRPr="005F297F" w:rsidRDefault="00B050F3" w:rsidP="005F297F">
      <w:pPr>
        <w:jc w:val="both"/>
        <w:rPr>
          <w:rFonts w:ascii="Arial" w:hAnsi="Arial" w:cs="Arial"/>
        </w:rPr>
      </w:pPr>
      <w:r w:rsidRPr="005F297F">
        <w:rPr>
          <w:rFonts w:ascii="Arial" w:hAnsi="Arial" w:cs="Arial"/>
        </w:rPr>
        <w:t xml:space="preserve"> </w:t>
      </w:r>
      <w:proofErr w:type="spellStart"/>
      <w:r w:rsidRPr="005F297F">
        <w:rPr>
          <w:rFonts w:ascii="Arial" w:hAnsi="Arial" w:cs="Arial"/>
        </w:rPr>
        <w:t>ii</w:t>
      </w:r>
      <w:proofErr w:type="spellEnd"/>
      <w:r w:rsidRPr="005F297F">
        <w:rPr>
          <w:rFonts w:ascii="Arial" w:hAnsi="Arial" w:cs="Arial"/>
        </w:rPr>
        <w:t>. En el caso de que se descarte el pez muerto, se aplicará al número de ejemplares descartados el peso medio establecido en el momento de la introducción en jaulas;</w:t>
      </w:r>
    </w:p>
    <w:p w14:paraId="708F7497" w14:textId="51607E66" w:rsidR="00B050F3" w:rsidRPr="005F297F" w:rsidRDefault="00B050F3" w:rsidP="005F297F">
      <w:pPr>
        <w:jc w:val="both"/>
        <w:rPr>
          <w:rFonts w:ascii="Arial" w:hAnsi="Arial" w:cs="Arial"/>
        </w:rPr>
      </w:pPr>
      <w:r w:rsidRPr="005F297F">
        <w:rPr>
          <w:rFonts w:ascii="Arial" w:hAnsi="Arial" w:cs="Arial"/>
        </w:rPr>
        <w:t>b) en el caso de los peces que de otro modo se consideren perdidos en el momento de la</w:t>
      </w:r>
      <w:r w:rsidR="00F66EC8" w:rsidRPr="005F297F">
        <w:rPr>
          <w:rFonts w:ascii="Arial" w:hAnsi="Arial" w:cs="Arial"/>
        </w:rPr>
        <w:t xml:space="preserve"> pertinente</w:t>
      </w:r>
      <w:r w:rsidRPr="005F297F">
        <w:rPr>
          <w:rFonts w:ascii="Arial" w:hAnsi="Arial" w:cs="Arial"/>
        </w:rPr>
        <w:t xml:space="preserve"> investigación, se aplicará el peso medio individual establecido en el momento de la introducción en la jaula al número de ejemplares que se consideren perdidos, según lo que determine la autoridad competente del Estado </w:t>
      </w:r>
      <w:r w:rsidR="00164800">
        <w:rPr>
          <w:rFonts w:ascii="Arial" w:hAnsi="Arial" w:cs="Arial"/>
        </w:rPr>
        <w:t>m</w:t>
      </w:r>
      <w:r w:rsidRPr="005F297F">
        <w:rPr>
          <w:rFonts w:ascii="Arial" w:hAnsi="Arial" w:cs="Arial"/>
        </w:rPr>
        <w:t xml:space="preserve">iembro del pabellón o de la almadraba como resultado de su análisis de las imágenes de la grabación de vídeo de la primera transferencia en el contexto de la investigación. </w:t>
      </w:r>
    </w:p>
    <w:p w14:paraId="4A78C2A9" w14:textId="77777777" w:rsidR="00B050F3" w:rsidRPr="005F297F" w:rsidRDefault="00B050F3" w:rsidP="00B050F3">
      <w:pPr>
        <w:ind w:left="708"/>
        <w:jc w:val="both"/>
        <w:rPr>
          <w:rFonts w:ascii="Arial" w:hAnsi="Arial" w:cs="Arial"/>
        </w:rPr>
      </w:pPr>
    </w:p>
    <w:p w14:paraId="15D0A656" w14:textId="77777777" w:rsidR="00B050F3" w:rsidRPr="005F297F" w:rsidRDefault="00B050F3" w:rsidP="00B050F3">
      <w:pPr>
        <w:jc w:val="both"/>
        <w:rPr>
          <w:rFonts w:ascii="Arial" w:hAnsi="Arial" w:cs="Arial"/>
        </w:rPr>
      </w:pPr>
      <w:r w:rsidRPr="005F297F">
        <w:rPr>
          <w:rFonts w:ascii="Arial" w:hAnsi="Arial" w:cs="Arial"/>
        </w:rPr>
        <w:t xml:space="preserve">Tratamiento de los peces que mueren durante las operaciones de introducción en jaulas </w:t>
      </w:r>
    </w:p>
    <w:p w14:paraId="0089FC06" w14:textId="50CDD96B" w:rsidR="00B050F3" w:rsidRPr="005F297F" w:rsidRDefault="00B050F3" w:rsidP="00B050F3">
      <w:pPr>
        <w:jc w:val="both"/>
        <w:rPr>
          <w:rFonts w:ascii="Arial" w:hAnsi="Arial" w:cs="Arial"/>
        </w:rPr>
      </w:pPr>
      <w:r w:rsidRPr="005F297F">
        <w:rPr>
          <w:rFonts w:ascii="Arial" w:hAnsi="Arial" w:cs="Arial"/>
        </w:rPr>
        <w:t xml:space="preserve">13. Los peces que mueren durante las operaciones de introducción en jaulas serán notificados por el operador en la declaración de introducción en jaulas. La autoridad competente del Estado </w:t>
      </w:r>
      <w:r w:rsidR="00164800">
        <w:rPr>
          <w:rFonts w:ascii="Arial" w:hAnsi="Arial" w:cs="Arial"/>
        </w:rPr>
        <w:t>m</w:t>
      </w:r>
      <w:r w:rsidRPr="005F297F">
        <w:rPr>
          <w:rFonts w:ascii="Arial" w:hAnsi="Arial" w:cs="Arial"/>
        </w:rPr>
        <w:t xml:space="preserve">iembro de la granja se asegurará de que el número y el peso de los peces que mueren se notifique en el campo pertinente de la Sección 6 del </w:t>
      </w:r>
      <w:proofErr w:type="spellStart"/>
      <w:r w:rsidRPr="005F297F">
        <w:rPr>
          <w:rFonts w:ascii="Arial" w:hAnsi="Arial" w:cs="Arial"/>
        </w:rPr>
        <w:t>eBCD</w:t>
      </w:r>
      <w:proofErr w:type="spellEnd"/>
      <w:r w:rsidRPr="005F297F">
        <w:rPr>
          <w:rFonts w:ascii="Arial" w:hAnsi="Arial" w:cs="Arial"/>
        </w:rPr>
        <w:t xml:space="preserve">. </w:t>
      </w:r>
    </w:p>
    <w:p w14:paraId="4896304C" w14:textId="77777777" w:rsidR="005F297F" w:rsidRDefault="005F297F" w:rsidP="00B050F3">
      <w:pPr>
        <w:jc w:val="both"/>
        <w:rPr>
          <w:rFonts w:ascii="Arial" w:hAnsi="Arial" w:cs="Arial"/>
        </w:rPr>
      </w:pPr>
    </w:p>
    <w:p w14:paraId="44C79D57" w14:textId="77777777" w:rsidR="00B050F3" w:rsidRPr="005F297F" w:rsidRDefault="00B050F3" w:rsidP="00B050F3">
      <w:pPr>
        <w:jc w:val="both"/>
        <w:rPr>
          <w:rFonts w:ascii="Arial" w:hAnsi="Arial" w:cs="Arial"/>
        </w:rPr>
      </w:pPr>
      <w:r w:rsidRPr="005F297F">
        <w:rPr>
          <w:rFonts w:ascii="Arial" w:hAnsi="Arial" w:cs="Arial"/>
        </w:rPr>
        <w:t xml:space="preserve">Tratamiento de los peces que mueren y/o se pierden durante las actividades de cría </w:t>
      </w:r>
    </w:p>
    <w:p w14:paraId="38EBEDB8" w14:textId="11C9AB59" w:rsidR="00074785" w:rsidRPr="005F297F" w:rsidRDefault="00B050F3" w:rsidP="00B050F3">
      <w:pPr>
        <w:jc w:val="both"/>
        <w:rPr>
          <w:rFonts w:ascii="Arial" w:hAnsi="Arial" w:cs="Arial"/>
        </w:rPr>
      </w:pPr>
      <w:r w:rsidRPr="005F297F">
        <w:rPr>
          <w:rFonts w:ascii="Arial" w:hAnsi="Arial" w:cs="Arial"/>
        </w:rPr>
        <w:t xml:space="preserve">14. Los peces muertos o perdidos en las granjas o aquellos que desaparecen de las granjas, incluidos los peces presuntamente robados o que se han escapado, serán comunicados por el operador de la granja a la autoridad competente del Estado </w:t>
      </w:r>
      <w:r w:rsidR="00164800">
        <w:rPr>
          <w:rFonts w:ascii="Arial" w:hAnsi="Arial" w:cs="Arial"/>
        </w:rPr>
        <w:t>m</w:t>
      </w:r>
      <w:r w:rsidRPr="005F297F">
        <w:rPr>
          <w:rFonts w:ascii="Arial" w:hAnsi="Arial" w:cs="Arial"/>
        </w:rPr>
        <w:t xml:space="preserve">iembro de la granja inmediatamente después de que se haya detectado el suceso. El informe del operador de la granja irá acompañado de las pruebas de apoyo necesarias (denuncia presentada sobre el pez robado, informe de daños en caso de daños a la jaula, etc.). Tras la recepción de dicho informe, la autoridad competente del Estado </w:t>
      </w:r>
      <w:r w:rsidR="00164800">
        <w:rPr>
          <w:rFonts w:ascii="Arial" w:hAnsi="Arial" w:cs="Arial"/>
        </w:rPr>
        <w:t>m</w:t>
      </w:r>
      <w:r w:rsidRPr="005F297F">
        <w:rPr>
          <w:rFonts w:ascii="Arial" w:hAnsi="Arial" w:cs="Arial"/>
        </w:rPr>
        <w:t xml:space="preserve">iembro de la granja aplicará los cambios necesarios en el </w:t>
      </w:r>
      <w:proofErr w:type="spellStart"/>
      <w:r w:rsidRPr="005F297F">
        <w:rPr>
          <w:rFonts w:ascii="Arial" w:hAnsi="Arial" w:cs="Arial"/>
        </w:rPr>
        <w:t>eBCD</w:t>
      </w:r>
      <w:proofErr w:type="spellEnd"/>
      <w:r w:rsidRPr="005F297F">
        <w:rPr>
          <w:rFonts w:ascii="Arial" w:hAnsi="Arial" w:cs="Arial"/>
        </w:rPr>
        <w:t xml:space="preserve"> en cuestión o lo cancelará (siguiendo los desarrollos necesarios en el sistema </w:t>
      </w:r>
      <w:proofErr w:type="spellStart"/>
      <w:r w:rsidRPr="005F297F">
        <w:rPr>
          <w:rFonts w:ascii="Arial" w:hAnsi="Arial" w:cs="Arial"/>
        </w:rPr>
        <w:t>eBCD</w:t>
      </w:r>
      <w:proofErr w:type="spellEnd"/>
      <w:r w:rsidRPr="005F297F">
        <w:rPr>
          <w:rFonts w:ascii="Arial" w:hAnsi="Arial" w:cs="Arial"/>
        </w:rPr>
        <w:t>).</w:t>
      </w:r>
    </w:p>
    <w:p w14:paraId="4E0B80E3" w14:textId="77777777" w:rsidR="00B050F3" w:rsidRPr="005F297F" w:rsidRDefault="00B050F3">
      <w:r w:rsidRPr="005F297F">
        <w:br w:type="page"/>
      </w:r>
    </w:p>
    <w:tbl>
      <w:tblPr>
        <w:tblStyle w:val="Tablaconcuadrcula"/>
        <w:tblW w:w="0" w:type="auto"/>
        <w:tblLook w:val="04A0" w:firstRow="1" w:lastRow="0" w:firstColumn="1" w:lastColumn="0" w:noHBand="0" w:noVBand="1"/>
      </w:tblPr>
      <w:tblGrid>
        <w:gridCol w:w="2263"/>
        <w:gridCol w:w="3399"/>
        <w:gridCol w:w="2832"/>
      </w:tblGrid>
      <w:tr w:rsidR="00B050F3" w:rsidRPr="005F297F" w14:paraId="35893D46" w14:textId="77777777" w:rsidTr="00E01596">
        <w:tc>
          <w:tcPr>
            <w:tcW w:w="8494" w:type="dxa"/>
            <w:gridSpan w:val="3"/>
          </w:tcPr>
          <w:p w14:paraId="2A5C6486" w14:textId="77777777" w:rsidR="00B050F3" w:rsidRPr="005F297F" w:rsidRDefault="00B050F3" w:rsidP="006048FD">
            <w:pPr>
              <w:spacing w:before="120" w:line="276" w:lineRule="auto"/>
              <w:jc w:val="both"/>
              <w:rPr>
                <w:rFonts w:ascii="Arial" w:hAnsi="Arial" w:cs="Arial"/>
              </w:rPr>
            </w:pPr>
            <w:r w:rsidRPr="005F297F">
              <w:rPr>
                <w:rFonts w:ascii="Arial" w:hAnsi="Arial" w:cs="Arial"/>
              </w:rPr>
              <w:lastRenderedPageBreak/>
              <w:t>Notificación de peces que mueren durante posteriores transferencias y operaciones de remolque</w:t>
            </w:r>
          </w:p>
        </w:tc>
      </w:tr>
      <w:tr w:rsidR="00B050F3" w:rsidRPr="005F297F" w14:paraId="4A4F1C52" w14:textId="77777777" w:rsidTr="006048FD">
        <w:tc>
          <w:tcPr>
            <w:tcW w:w="2263" w:type="dxa"/>
            <w:vMerge w:val="restart"/>
          </w:tcPr>
          <w:p w14:paraId="6D00830A" w14:textId="77777777" w:rsidR="00B050F3" w:rsidRPr="005F297F" w:rsidRDefault="00B050F3" w:rsidP="006048FD">
            <w:pPr>
              <w:spacing w:before="120" w:line="276" w:lineRule="auto"/>
              <w:jc w:val="both"/>
              <w:rPr>
                <w:rFonts w:ascii="Arial" w:hAnsi="Arial" w:cs="Arial"/>
              </w:rPr>
            </w:pPr>
            <w:r w:rsidRPr="005F297F">
              <w:rPr>
                <w:rFonts w:ascii="Arial" w:hAnsi="Arial" w:cs="Arial"/>
              </w:rPr>
              <w:t>Remolcador</w:t>
            </w:r>
          </w:p>
        </w:tc>
        <w:tc>
          <w:tcPr>
            <w:tcW w:w="3399" w:type="dxa"/>
          </w:tcPr>
          <w:p w14:paraId="47B003F4"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Nombre </w:t>
            </w:r>
          </w:p>
        </w:tc>
        <w:tc>
          <w:tcPr>
            <w:tcW w:w="2832" w:type="dxa"/>
          </w:tcPr>
          <w:p w14:paraId="46948214" w14:textId="77777777" w:rsidR="00B050F3" w:rsidRPr="005F297F" w:rsidRDefault="00B050F3" w:rsidP="006048FD">
            <w:pPr>
              <w:spacing w:before="120" w:line="276" w:lineRule="auto"/>
              <w:jc w:val="both"/>
              <w:rPr>
                <w:rFonts w:ascii="Arial" w:hAnsi="Arial" w:cs="Arial"/>
              </w:rPr>
            </w:pPr>
          </w:p>
        </w:tc>
      </w:tr>
      <w:tr w:rsidR="00B050F3" w:rsidRPr="005F297F" w14:paraId="43BA3F21" w14:textId="77777777" w:rsidTr="006048FD">
        <w:tc>
          <w:tcPr>
            <w:tcW w:w="2263" w:type="dxa"/>
            <w:vMerge/>
          </w:tcPr>
          <w:p w14:paraId="57FE5492" w14:textId="77777777" w:rsidR="00B050F3" w:rsidRPr="005F297F" w:rsidRDefault="00B050F3" w:rsidP="006048FD">
            <w:pPr>
              <w:spacing w:before="120" w:line="276" w:lineRule="auto"/>
              <w:jc w:val="both"/>
              <w:rPr>
                <w:rFonts w:ascii="Arial" w:hAnsi="Arial" w:cs="Arial"/>
              </w:rPr>
            </w:pPr>
          </w:p>
        </w:tc>
        <w:tc>
          <w:tcPr>
            <w:tcW w:w="3399" w:type="dxa"/>
          </w:tcPr>
          <w:p w14:paraId="52FF5CA0"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N.º ICCAT y pabellón </w:t>
            </w:r>
          </w:p>
        </w:tc>
        <w:tc>
          <w:tcPr>
            <w:tcW w:w="2832" w:type="dxa"/>
          </w:tcPr>
          <w:p w14:paraId="29913C12" w14:textId="77777777" w:rsidR="00B050F3" w:rsidRPr="005F297F" w:rsidRDefault="00B050F3" w:rsidP="006048FD">
            <w:pPr>
              <w:spacing w:before="120" w:line="276" w:lineRule="auto"/>
              <w:jc w:val="both"/>
              <w:rPr>
                <w:rFonts w:ascii="Arial" w:hAnsi="Arial" w:cs="Arial"/>
              </w:rPr>
            </w:pPr>
          </w:p>
        </w:tc>
      </w:tr>
      <w:tr w:rsidR="00B050F3" w:rsidRPr="005F297F" w14:paraId="7FE9F989" w14:textId="77777777" w:rsidTr="006048FD">
        <w:tc>
          <w:tcPr>
            <w:tcW w:w="2263" w:type="dxa"/>
            <w:vMerge/>
          </w:tcPr>
          <w:p w14:paraId="5B149E7E" w14:textId="77777777" w:rsidR="00B050F3" w:rsidRPr="005F297F" w:rsidRDefault="00B050F3" w:rsidP="006048FD">
            <w:pPr>
              <w:spacing w:before="120" w:line="276" w:lineRule="auto"/>
              <w:jc w:val="both"/>
              <w:rPr>
                <w:rFonts w:ascii="Arial" w:hAnsi="Arial" w:cs="Arial"/>
              </w:rPr>
            </w:pPr>
          </w:p>
        </w:tc>
        <w:tc>
          <w:tcPr>
            <w:tcW w:w="3399" w:type="dxa"/>
          </w:tcPr>
          <w:p w14:paraId="411128E1"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N.º de ITD y N.º de jaula </w:t>
            </w:r>
          </w:p>
        </w:tc>
        <w:tc>
          <w:tcPr>
            <w:tcW w:w="2832" w:type="dxa"/>
          </w:tcPr>
          <w:p w14:paraId="4A5A2929" w14:textId="77777777" w:rsidR="00B050F3" w:rsidRPr="005F297F" w:rsidRDefault="00B050F3" w:rsidP="006048FD">
            <w:pPr>
              <w:spacing w:before="120" w:line="276" w:lineRule="auto"/>
              <w:jc w:val="both"/>
              <w:rPr>
                <w:rFonts w:ascii="Arial" w:hAnsi="Arial" w:cs="Arial"/>
              </w:rPr>
            </w:pPr>
          </w:p>
        </w:tc>
      </w:tr>
      <w:tr w:rsidR="00B050F3" w:rsidRPr="005F297F" w14:paraId="15831974" w14:textId="77777777" w:rsidTr="006048FD">
        <w:tc>
          <w:tcPr>
            <w:tcW w:w="2263" w:type="dxa"/>
            <w:vMerge/>
          </w:tcPr>
          <w:p w14:paraId="4E16EF56" w14:textId="77777777" w:rsidR="00B050F3" w:rsidRPr="005F297F" w:rsidRDefault="00B050F3" w:rsidP="006048FD">
            <w:pPr>
              <w:spacing w:before="120" w:line="276" w:lineRule="auto"/>
              <w:jc w:val="both"/>
              <w:rPr>
                <w:rFonts w:ascii="Arial" w:hAnsi="Arial" w:cs="Arial"/>
              </w:rPr>
            </w:pPr>
          </w:p>
        </w:tc>
        <w:tc>
          <w:tcPr>
            <w:tcW w:w="3399" w:type="dxa"/>
          </w:tcPr>
          <w:p w14:paraId="60E885BD" w14:textId="77777777" w:rsidR="00B050F3" w:rsidRPr="005F297F" w:rsidRDefault="00B050F3" w:rsidP="006048FD">
            <w:pPr>
              <w:spacing w:before="120" w:line="276" w:lineRule="auto"/>
              <w:rPr>
                <w:rFonts w:ascii="Arial" w:hAnsi="Arial" w:cs="Arial"/>
              </w:rPr>
            </w:pPr>
            <w:r w:rsidRPr="005F297F">
              <w:rPr>
                <w:rFonts w:ascii="Arial" w:hAnsi="Arial" w:cs="Arial"/>
              </w:rPr>
              <w:t>Nombre del patrón</w:t>
            </w:r>
          </w:p>
        </w:tc>
        <w:tc>
          <w:tcPr>
            <w:tcW w:w="2832" w:type="dxa"/>
          </w:tcPr>
          <w:p w14:paraId="535F9926" w14:textId="77777777" w:rsidR="00B050F3" w:rsidRPr="005F297F" w:rsidRDefault="00B050F3" w:rsidP="006048FD">
            <w:pPr>
              <w:spacing w:before="120" w:line="276" w:lineRule="auto"/>
              <w:jc w:val="both"/>
              <w:rPr>
                <w:rFonts w:ascii="Arial" w:hAnsi="Arial" w:cs="Arial"/>
              </w:rPr>
            </w:pPr>
          </w:p>
        </w:tc>
      </w:tr>
      <w:tr w:rsidR="00B050F3" w:rsidRPr="005F297F" w14:paraId="555394FB" w14:textId="77777777" w:rsidTr="006048FD">
        <w:tc>
          <w:tcPr>
            <w:tcW w:w="2263" w:type="dxa"/>
            <w:vMerge w:val="restart"/>
          </w:tcPr>
          <w:p w14:paraId="61743807" w14:textId="77777777" w:rsidR="00B050F3" w:rsidRPr="005F297F" w:rsidRDefault="00B050F3" w:rsidP="006048FD">
            <w:pPr>
              <w:spacing w:before="120" w:line="276" w:lineRule="auto"/>
              <w:jc w:val="both"/>
              <w:rPr>
                <w:rFonts w:ascii="Arial" w:hAnsi="Arial" w:cs="Arial"/>
              </w:rPr>
            </w:pPr>
            <w:r w:rsidRPr="005F297F">
              <w:rPr>
                <w:rFonts w:ascii="Arial" w:hAnsi="Arial" w:cs="Arial"/>
              </w:rPr>
              <w:t>Buque(s) de captura/almadraba</w:t>
            </w:r>
          </w:p>
        </w:tc>
        <w:tc>
          <w:tcPr>
            <w:tcW w:w="3399" w:type="dxa"/>
          </w:tcPr>
          <w:p w14:paraId="429649EC"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Nombre del (de los) buque(s)/almadraba </w:t>
            </w:r>
          </w:p>
        </w:tc>
        <w:tc>
          <w:tcPr>
            <w:tcW w:w="2832" w:type="dxa"/>
          </w:tcPr>
          <w:p w14:paraId="1A9EB35C" w14:textId="77777777" w:rsidR="00B050F3" w:rsidRPr="005F297F" w:rsidRDefault="00B050F3" w:rsidP="006048FD">
            <w:pPr>
              <w:spacing w:before="120" w:line="276" w:lineRule="auto"/>
              <w:jc w:val="both"/>
              <w:rPr>
                <w:rFonts w:ascii="Arial" w:hAnsi="Arial" w:cs="Arial"/>
              </w:rPr>
            </w:pPr>
          </w:p>
        </w:tc>
      </w:tr>
      <w:tr w:rsidR="00B050F3" w:rsidRPr="005F297F" w14:paraId="4A946E9B" w14:textId="77777777" w:rsidTr="006048FD">
        <w:tc>
          <w:tcPr>
            <w:tcW w:w="2263" w:type="dxa"/>
            <w:vMerge/>
          </w:tcPr>
          <w:p w14:paraId="028742BF" w14:textId="77777777" w:rsidR="00B050F3" w:rsidRPr="005F297F" w:rsidRDefault="00B050F3" w:rsidP="006048FD">
            <w:pPr>
              <w:spacing w:before="120" w:line="276" w:lineRule="auto"/>
              <w:jc w:val="both"/>
              <w:rPr>
                <w:rFonts w:ascii="Arial" w:hAnsi="Arial" w:cs="Arial"/>
              </w:rPr>
            </w:pPr>
          </w:p>
        </w:tc>
        <w:tc>
          <w:tcPr>
            <w:tcW w:w="3399" w:type="dxa"/>
          </w:tcPr>
          <w:p w14:paraId="1A183989"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Número ICCAT y N.º de JFO </w:t>
            </w:r>
          </w:p>
        </w:tc>
        <w:tc>
          <w:tcPr>
            <w:tcW w:w="2832" w:type="dxa"/>
          </w:tcPr>
          <w:p w14:paraId="2E63ED54" w14:textId="77777777" w:rsidR="00B050F3" w:rsidRPr="005F297F" w:rsidRDefault="00B050F3" w:rsidP="006048FD">
            <w:pPr>
              <w:spacing w:before="120" w:line="276" w:lineRule="auto"/>
              <w:jc w:val="both"/>
              <w:rPr>
                <w:rFonts w:ascii="Arial" w:hAnsi="Arial" w:cs="Arial"/>
              </w:rPr>
            </w:pPr>
          </w:p>
        </w:tc>
      </w:tr>
      <w:tr w:rsidR="00B050F3" w:rsidRPr="005F297F" w14:paraId="696FB842" w14:textId="77777777" w:rsidTr="006048FD">
        <w:tc>
          <w:tcPr>
            <w:tcW w:w="2263" w:type="dxa"/>
            <w:vMerge/>
          </w:tcPr>
          <w:p w14:paraId="3B6407E6" w14:textId="77777777" w:rsidR="00B050F3" w:rsidRPr="005F297F" w:rsidRDefault="00B050F3" w:rsidP="006048FD">
            <w:pPr>
              <w:spacing w:before="120" w:line="276" w:lineRule="auto"/>
              <w:jc w:val="both"/>
              <w:rPr>
                <w:rFonts w:ascii="Arial" w:hAnsi="Arial" w:cs="Arial"/>
              </w:rPr>
            </w:pPr>
          </w:p>
        </w:tc>
        <w:tc>
          <w:tcPr>
            <w:tcW w:w="3399" w:type="dxa"/>
          </w:tcPr>
          <w:p w14:paraId="078FE95C"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Número(s) de </w:t>
            </w:r>
            <w:proofErr w:type="spellStart"/>
            <w:r w:rsidRPr="005F297F">
              <w:rPr>
                <w:rFonts w:ascii="Arial" w:hAnsi="Arial" w:cs="Arial"/>
              </w:rPr>
              <w:t>eBCD</w:t>
            </w:r>
            <w:proofErr w:type="spellEnd"/>
          </w:p>
        </w:tc>
        <w:tc>
          <w:tcPr>
            <w:tcW w:w="2832" w:type="dxa"/>
          </w:tcPr>
          <w:p w14:paraId="36F829FE" w14:textId="77777777" w:rsidR="00B050F3" w:rsidRPr="005F297F" w:rsidRDefault="00B050F3" w:rsidP="006048FD">
            <w:pPr>
              <w:spacing w:before="120" w:line="276" w:lineRule="auto"/>
              <w:jc w:val="both"/>
              <w:rPr>
                <w:rFonts w:ascii="Arial" w:hAnsi="Arial" w:cs="Arial"/>
              </w:rPr>
            </w:pPr>
          </w:p>
        </w:tc>
      </w:tr>
      <w:tr w:rsidR="006048FD" w:rsidRPr="005F297F" w14:paraId="757078D4" w14:textId="77777777" w:rsidTr="006048FD">
        <w:tc>
          <w:tcPr>
            <w:tcW w:w="2263" w:type="dxa"/>
            <w:vMerge w:val="restart"/>
          </w:tcPr>
          <w:p w14:paraId="7DFCA4A6" w14:textId="77777777" w:rsidR="006048FD" w:rsidRPr="005F297F" w:rsidRDefault="006048FD" w:rsidP="006048FD">
            <w:pPr>
              <w:spacing w:before="120" w:line="276" w:lineRule="auto"/>
              <w:jc w:val="both"/>
              <w:rPr>
                <w:rFonts w:ascii="Arial" w:hAnsi="Arial" w:cs="Arial"/>
              </w:rPr>
            </w:pPr>
            <w:r w:rsidRPr="005F297F">
              <w:rPr>
                <w:rFonts w:ascii="Arial" w:hAnsi="Arial" w:cs="Arial"/>
              </w:rPr>
              <w:t>Anterior remolcador (si lo hubiere)</w:t>
            </w:r>
          </w:p>
        </w:tc>
        <w:tc>
          <w:tcPr>
            <w:tcW w:w="3399" w:type="dxa"/>
          </w:tcPr>
          <w:p w14:paraId="60456AFD" w14:textId="77777777" w:rsidR="006048FD" w:rsidRPr="005F297F" w:rsidRDefault="006048FD" w:rsidP="006048FD">
            <w:pPr>
              <w:spacing w:before="120" w:line="276" w:lineRule="auto"/>
              <w:rPr>
                <w:rFonts w:ascii="Arial" w:hAnsi="Arial" w:cs="Arial"/>
              </w:rPr>
            </w:pPr>
            <w:r w:rsidRPr="005F297F">
              <w:rPr>
                <w:rFonts w:ascii="Arial" w:hAnsi="Arial" w:cs="Arial"/>
              </w:rPr>
              <w:t xml:space="preserve">Nombre </w:t>
            </w:r>
          </w:p>
        </w:tc>
        <w:tc>
          <w:tcPr>
            <w:tcW w:w="2832" w:type="dxa"/>
          </w:tcPr>
          <w:p w14:paraId="62266152" w14:textId="77777777" w:rsidR="006048FD" w:rsidRPr="005F297F" w:rsidRDefault="006048FD" w:rsidP="006048FD">
            <w:pPr>
              <w:spacing w:before="120" w:line="276" w:lineRule="auto"/>
              <w:jc w:val="both"/>
              <w:rPr>
                <w:rFonts w:ascii="Arial" w:hAnsi="Arial" w:cs="Arial"/>
              </w:rPr>
            </w:pPr>
          </w:p>
        </w:tc>
      </w:tr>
      <w:tr w:rsidR="006048FD" w:rsidRPr="005F297F" w14:paraId="7FCCFF15" w14:textId="77777777" w:rsidTr="006048FD">
        <w:tc>
          <w:tcPr>
            <w:tcW w:w="2263" w:type="dxa"/>
            <w:vMerge/>
          </w:tcPr>
          <w:p w14:paraId="76D84863" w14:textId="77777777" w:rsidR="006048FD" w:rsidRPr="005F297F" w:rsidRDefault="006048FD" w:rsidP="006048FD">
            <w:pPr>
              <w:spacing w:before="120" w:line="276" w:lineRule="auto"/>
              <w:jc w:val="both"/>
              <w:rPr>
                <w:rFonts w:ascii="Arial" w:hAnsi="Arial" w:cs="Arial"/>
              </w:rPr>
            </w:pPr>
          </w:p>
        </w:tc>
        <w:tc>
          <w:tcPr>
            <w:tcW w:w="3399" w:type="dxa"/>
          </w:tcPr>
          <w:p w14:paraId="625DE30B" w14:textId="14D0526D" w:rsidR="006048FD" w:rsidRPr="005F297F" w:rsidRDefault="006048FD" w:rsidP="006048FD">
            <w:pPr>
              <w:spacing w:before="120" w:line="276" w:lineRule="auto"/>
              <w:rPr>
                <w:rFonts w:ascii="Arial" w:hAnsi="Arial" w:cs="Arial"/>
              </w:rPr>
            </w:pPr>
            <w:r w:rsidRPr="005F297F">
              <w:rPr>
                <w:rFonts w:ascii="Arial" w:hAnsi="Arial" w:cs="Arial"/>
              </w:rPr>
              <w:t xml:space="preserve">N.º ICCAT y pabellón </w:t>
            </w:r>
          </w:p>
        </w:tc>
        <w:tc>
          <w:tcPr>
            <w:tcW w:w="2832" w:type="dxa"/>
          </w:tcPr>
          <w:p w14:paraId="46DBF82F" w14:textId="77777777" w:rsidR="006048FD" w:rsidRPr="005F297F" w:rsidRDefault="006048FD" w:rsidP="006048FD">
            <w:pPr>
              <w:spacing w:before="120" w:line="276" w:lineRule="auto"/>
              <w:jc w:val="both"/>
              <w:rPr>
                <w:rFonts w:ascii="Arial" w:hAnsi="Arial" w:cs="Arial"/>
              </w:rPr>
            </w:pPr>
          </w:p>
        </w:tc>
      </w:tr>
      <w:tr w:rsidR="006048FD" w:rsidRPr="005F297F" w14:paraId="21329F34" w14:textId="77777777" w:rsidTr="006048FD">
        <w:tc>
          <w:tcPr>
            <w:tcW w:w="2263" w:type="dxa"/>
            <w:vMerge/>
          </w:tcPr>
          <w:p w14:paraId="7662CAED" w14:textId="77777777" w:rsidR="006048FD" w:rsidRPr="005F297F" w:rsidRDefault="006048FD" w:rsidP="006048FD">
            <w:pPr>
              <w:spacing w:before="120" w:line="276" w:lineRule="auto"/>
              <w:jc w:val="both"/>
              <w:rPr>
                <w:rFonts w:ascii="Arial" w:hAnsi="Arial" w:cs="Arial"/>
              </w:rPr>
            </w:pPr>
          </w:p>
        </w:tc>
        <w:tc>
          <w:tcPr>
            <w:tcW w:w="3399" w:type="dxa"/>
          </w:tcPr>
          <w:p w14:paraId="470FE181" w14:textId="77777777" w:rsidR="006048FD" w:rsidRPr="005F297F" w:rsidRDefault="006048FD" w:rsidP="006048FD">
            <w:pPr>
              <w:spacing w:before="120" w:line="276" w:lineRule="auto"/>
              <w:rPr>
                <w:rFonts w:ascii="Arial" w:hAnsi="Arial" w:cs="Arial"/>
              </w:rPr>
            </w:pPr>
            <w:r w:rsidRPr="005F297F">
              <w:rPr>
                <w:rFonts w:ascii="Arial" w:hAnsi="Arial" w:cs="Arial"/>
              </w:rPr>
              <w:t xml:space="preserve">N.º de ITD y N.º de jaula </w:t>
            </w:r>
          </w:p>
        </w:tc>
        <w:tc>
          <w:tcPr>
            <w:tcW w:w="2832" w:type="dxa"/>
          </w:tcPr>
          <w:p w14:paraId="474AF1FF" w14:textId="77777777" w:rsidR="006048FD" w:rsidRPr="005F297F" w:rsidRDefault="006048FD" w:rsidP="006048FD">
            <w:pPr>
              <w:spacing w:before="120" w:line="276" w:lineRule="auto"/>
              <w:jc w:val="both"/>
              <w:rPr>
                <w:rFonts w:ascii="Arial" w:hAnsi="Arial" w:cs="Arial"/>
              </w:rPr>
            </w:pPr>
          </w:p>
        </w:tc>
      </w:tr>
      <w:tr w:rsidR="006048FD" w:rsidRPr="005F297F" w14:paraId="0CB64ECA" w14:textId="77777777" w:rsidTr="006048FD">
        <w:tc>
          <w:tcPr>
            <w:tcW w:w="2263" w:type="dxa"/>
            <w:vMerge/>
          </w:tcPr>
          <w:p w14:paraId="2E124005" w14:textId="77777777" w:rsidR="006048FD" w:rsidRPr="005F297F" w:rsidRDefault="006048FD" w:rsidP="006048FD">
            <w:pPr>
              <w:spacing w:before="120" w:line="276" w:lineRule="auto"/>
              <w:jc w:val="both"/>
              <w:rPr>
                <w:rFonts w:ascii="Arial" w:hAnsi="Arial" w:cs="Arial"/>
              </w:rPr>
            </w:pPr>
          </w:p>
        </w:tc>
        <w:tc>
          <w:tcPr>
            <w:tcW w:w="3399" w:type="dxa"/>
          </w:tcPr>
          <w:p w14:paraId="0D2EC727" w14:textId="77777777" w:rsidR="006048FD" w:rsidRPr="005F297F" w:rsidRDefault="006048FD" w:rsidP="006048FD">
            <w:pPr>
              <w:spacing w:before="120" w:line="276" w:lineRule="auto"/>
              <w:rPr>
                <w:rFonts w:ascii="Arial" w:hAnsi="Arial" w:cs="Arial"/>
              </w:rPr>
            </w:pPr>
            <w:r w:rsidRPr="005F297F">
              <w:rPr>
                <w:rFonts w:ascii="Arial" w:hAnsi="Arial" w:cs="Arial"/>
              </w:rPr>
              <w:t>Número total de atunes rojos muertos declarados (*)</w:t>
            </w:r>
          </w:p>
        </w:tc>
        <w:tc>
          <w:tcPr>
            <w:tcW w:w="2832" w:type="dxa"/>
          </w:tcPr>
          <w:p w14:paraId="569AD3A5" w14:textId="77777777" w:rsidR="006048FD" w:rsidRPr="005F297F" w:rsidRDefault="006048FD" w:rsidP="006048FD">
            <w:pPr>
              <w:spacing w:before="120" w:line="276" w:lineRule="auto"/>
              <w:jc w:val="both"/>
              <w:rPr>
                <w:rFonts w:ascii="Arial" w:hAnsi="Arial" w:cs="Arial"/>
              </w:rPr>
            </w:pPr>
          </w:p>
        </w:tc>
      </w:tr>
      <w:tr w:rsidR="006048FD" w:rsidRPr="005F297F" w14:paraId="39816380" w14:textId="77777777" w:rsidTr="006048FD">
        <w:tc>
          <w:tcPr>
            <w:tcW w:w="2263" w:type="dxa"/>
          </w:tcPr>
          <w:p w14:paraId="48F959CC" w14:textId="77777777" w:rsidR="006048FD" w:rsidRPr="005F297F" w:rsidRDefault="006048FD" w:rsidP="006048FD">
            <w:pPr>
              <w:spacing w:before="120" w:line="276" w:lineRule="auto"/>
              <w:rPr>
                <w:rFonts w:ascii="Arial" w:hAnsi="Arial" w:cs="Arial"/>
              </w:rPr>
            </w:pPr>
            <w:r w:rsidRPr="005F297F">
              <w:rPr>
                <w:rFonts w:ascii="Arial" w:hAnsi="Arial" w:cs="Arial"/>
              </w:rPr>
              <w:t xml:space="preserve">Granja de destino </w:t>
            </w:r>
          </w:p>
        </w:tc>
        <w:tc>
          <w:tcPr>
            <w:tcW w:w="3399" w:type="dxa"/>
          </w:tcPr>
          <w:p w14:paraId="20F6CCB7" w14:textId="77777777" w:rsidR="006048FD" w:rsidRPr="005F297F" w:rsidRDefault="006048FD" w:rsidP="006048FD">
            <w:pPr>
              <w:spacing w:before="120" w:line="276" w:lineRule="auto"/>
              <w:rPr>
                <w:rFonts w:ascii="Arial" w:hAnsi="Arial" w:cs="Arial"/>
              </w:rPr>
            </w:pPr>
            <w:r w:rsidRPr="005F297F">
              <w:rPr>
                <w:rFonts w:ascii="Arial" w:hAnsi="Arial" w:cs="Arial"/>
              </w:rPr>
              <w:t xml:space="preserve">CPC / Nombre/ N.º ICCAT </w:t>
            </w:r>
          </w:p>
        </w:tc>
        <w:tc>
          <w:tcPr>
            <w:tcW w:w="2832" w:type="dxa"/>
          </w:tcPr>
          <w:p w14:paraId="371847A5" w14:textId="77777777" w:rsidR="006048FD" w:rsidRPr="005F297F" w:rsidRDefault="006048FD" w:rsidP="006048FD">
            <w:pPr>
              <w:spacing w:before="120" w:line="276" w:lineRule="auto"/>
              <w:jc w:val="both"/>
              <w:rPr>
                <w:rFonts w:ascii="Arial" w:hAnsi="Arial" w:cs="Arial"/>
              </w:rPr>
            </w:pPr>
          </w:p>
        </w:tc>
      </w:tr>
      <w:tr w:rsidR="00B050F3" w:rsidRPr="005F297F" w14:paraId="3EAA283A" w14:textId="77777777" w:rsidTr="006048FD">
        <w:tc>
          <w:tcPr>
            <w:tcW w:w="2263" w:type="dxa"/>
          </w:tcPr>
          <w:p w14:paraId="33D3082E" w14:textId="77777777" w:rsidR="00B050F3" w:rsidRPr="005F297F" w:rsidRDefault="006048FD" w:rsidP="006048FD">
            <w:pPr>
              <w:spacing w:before="120" w:line="276" w:lineRule="auto"/>
              <w:jc w:val="both"/>
              <w:rPr>
                <w:rFonts w:ascii="Arial" w:hAnsi="Arial" w:cs="Arial"/>
              </w:rPr>
            </w:pPr>
            <w:r w:rsidRPr="005F297F">
              <w:rPr>
                <w:rFonts w:ascii="Arial" w:hAnsi="Arial" w:cs="Arial"/>
              </w:rPr>
              <w:t xml:space="preserve">Fecha </w:t>
            </w:r>
          </w:p>
        </w:tc>
        <w:tc>
          <w:tcPr>
            <w:tcW w:w="3399" w:type="dxa"/>
          </w:tcPr>
          <w:p w14:paraId="41EDAF04" w14:textId="77777777" w:rsidR="00B050F3" w:rsidRPr="005F297F" w:rsidRDefault="006048FD" w:rsidP="006048FD">
            <w:pPr>
              <w:spacing w:before="120" w:line="276" w:lineRule="auto"/>
              <w:jc w:val="both"/>
              <w:rPr>
                <w:rFonts w:ascii="Arial" w:hAnsi="Arial" w:cs="Arial"/>
              </w:rPr>
            </w:pPr>
            <w:r w:rsidRPr="005F297F">
              <w:rPr>
                <w:rFonts w:ascii="Arial" w:hAnsi="Arial" w:cs="Arial"/>
              </w:rPr>
              <w:t>N.º de atunes rojos muertos</w:t>
            </w:r>
          </w:p>
        </w:tc>
        <w:tc>
          <w:tcPr>
            <w:tcW w:w="2832" w:type="dxa"/>
          </w:tcPr>
          <w:p w14:paraId="56601248" w14:textId="77777777" w:rsidR="00B050F3" w:rsidRPr="005F297F" w:rsidRDefault="006048FD" w:rsidP="006048FD">
            <w:pPr>
              <w:spacing w:before="120" w:line="276" w:lineRule="auto"/>
              <w:jc w:val="both"/>
              <w:rPr>
                <w:rFonts w:ascii="Arial" w:hAnsi="Arial" w:cs="Arial"/>
              </w:rPr>
            </w:pPr>
            <w:r w:rsidRPr="005F297F">
              <w:rPr>
                <w:rFonts w:ascii="Arial" w:hAnsi="Arial" w:cs="Arial"/>
              </w:rPr>
              <w:t>Firma del patrón</w:t>
            </w:r>
          </w:p>
        </w:tc>
      </w:tr>
      <w:tr w:rsidR="00B050F3" w:rsidRPr="005F297F" w14:paraId="6AC4AD77" w14:textId="77777777" w:rsidTr="006048FD">
        <w:tc>
          <w:tcPr>
            <w:tcW w:w="2263" w:type="dxa"/>
          </w:tcPr>
          <w:p w14:paraId="20D60B45" w14:textId="77777777" w:rsidR="00B050F3" w:rsidRPr="005F297F" w:rsidRDefault="00B050F3" w:rsidP="006048FD">
            <w:pPr>
              <w:spacing w:before="120" w:line="276" w:lineRule="auto"/>
              <w:jc w:val="both"/>
              <w:rPr>
                <w:rFonts w:cstheme="minorHAnsi"/>
              </w:rPr>
            </w:pPr>
          </w:p>
        </w:tc>
        <w:tc>
          <w:tcPr>
            <w:tcW w:w="3399" w:type="dxa"/>
          </w:tcPr>
          <w:p w14:paraId="4E7B1382" w14:textId="77777777" w:rsidR="00B050F3" w:rsidRPr="005F297F" w:rsidRDefault="00B050F3" w:rsidP="006048FD">
            <w:pPr>
              <w:spacing w:before="120" w:line="276" w:lineRule="auto"/>
              <w:jc w:val="both"/>
              <w:rPr>
                <w:rFonts w:cstheme="minorHAnsi"/>
              </w:rPr>
            </w:pPr>
          </w:p>
        </w:tc>
        <w:tc>
          <w:tcPr>
            <w:tcW w:w="2832" w:type="dxa"/>
          </w:tcPr>
          <w:p w14:paraId="62A839F7" w14:textId="77777777" w:rsidR="00B050F3" w:rsidRPr="005F297F" w:rsidRDefault="00B050F3" w:rsidP="006048FD">
            <w:pPr>
              <w:spacing w:before="120" w:line="276" w:lineRule="auto"/>
              <w:jc w:val="both"/>
              <w:rPr>
                <w:rFonts w:cstheme="minorHAnsi"/>
              </w:rPr>
            </w:pPr>
          </w:p>
        </w:tc>
      </w:tr>
      <w:tr w:rsidR="00B050F3" w:rsidRPr="005F297F" w14:paraId="66DD2540" w14:textId="77777777" w:rsidTr="006048FD">
        <w:tc>
          <w:tcPr>
            <w:tcW w:w="2263" w:type="dxa"/>
          </w:tcPr>
          <w:p w14:paraId="163FAE49" w14:textId="77777777" w:rsidR="00B050F3" w:rsidRPr="005F297F" w:rsidRDefault="00B050F3" w:rsidP="006048FD">
            <w:pPr>
              <w:spacing w:before="120" w:line="276" w:lineRule="auto"/>
              <w:jc w:val="both"/>
              <w:rPr>
                <w:rFonts w:cstheme="minorHAnsi"/>
              </w:rPr>
            </w:pPr>
          </w:p>
        </w:tc>
        <w:tc>
          <w:tcPr>
            <w:tcW w:w="3399" w:type="dxa"/>
          </w:tcPr>
          <w:p w14:paraId="240DEA55" w14:textId="77777777" w:rsidR="00B050F3" w:rsidRPr="005F297F" w:rsidRDefault="00B050F3" w:rsidP="006048FD">
            <w:pPr>
              <w:spacing w:before="120" w:line="276" w:lineRule="auto"/>
              <w:jc w:val="both"/>
              <w:rPr>
                <w:rFonts w:cstheme="minorHAnsi"/>
              </w:rPr>
            </w:pPr>
          </w:p>
        </w:tc>
        <w:tc>
          <w:tcPr>
            <w:tcW w:w="2832" w:type="dxa"/>
          </w:tcPr>
          <w:p w14:paraId="44E3811E" w14:textId="77777777" w:rsidR="00B050F3" w:rsidRPr="005F297F" w:rsidRDefault="00B050F3" w:rsidP="006048FD">
            <w:pPr>
              <w:spacing w:before="120" w:line="276" w:lineRule="auto"/>
              <w:jc w:val="both"/>
              <w:rPr>
                <w:rFonts w:cstheme="minorHAnsi"/>
              </w:rPr>
            </w:pPr>
          </w:p>
        </w:tc>
      </w:tr>
      <w:tr w:rsidR="00B050F3" w:rsidRPr="005F297F" w14:paraId="377323D2" w14:textId="77777777" w:rsidTr="006048FD">
        <w:tc>
          <w:tcPr>
            <w:tcW w:w="2263" w:type="dxa"/>
          </w:tcPr>
          <w:p w14:paraId="4CEB01C9" w14:textId="77777777" w:rsidR="00B050F3" w:rsidRPr="005F297F" w:rsidRDefault="00B050F3" w:rsidP="006048FD">
            <w:pPr>
              <w:spacing w:before="120" w:line="276" w:lineRule="auto"/>
              <w:jc w:val="both"/>
              <w:rPr>
                <w:rFonts w:cstheme="minorHAnsi"/>
              </w:rPr>
            </w:pPr>
          </w:p>
        </w:tc>
        <w:tc>
          <w:tcPr>
            <w:tcW w:w="3399" w:type="dxa"/>
          </w:tcPr>
          <w:p w14:paraId="6EB04752" w14:textId="77777777" w:rsidR="00B050F3" w:rsidRPr="005F297F" w:rsidRDefault="00B050F3" w:rsidP="006048FD">
            <w:pPr>
              <w:spacing w:before="120" w:line="276" w:lineRule="auto"/>
              <w:jc w:val="both"/>
              <w:rPr>
                <w:rFonts w:cstheme="minorHAnsi"/>
              </w:rPr>
            </w:pPr>
          </w:p>
        </w:tc>
        <w:tc>
          <w:tcPr>
            <w:tcW w:w="2832" w:type="dxa"/>
          </w:tcPr>
          <w:p w14:paraId="7BAD03AE" w14:textId="77777777" w:rsidR="00B050F3" w:rsidRPr="005F297F" w:rsidRDefault="00B050F3" w:rsidP="006048FD">
            <w:pPr>
              <w:spacing w:before="120" w:line="276" w:lineRule="auto"/>
              <w:jc w:val="both"/>
              <w:rPr>
                <w:rFonts w:cstheme="minorHAnsi"/>
              </w:rPr>
            </w:pPr>
          </w:p>
        </w:tc>
      </w:tr>
      <w:tr w:rsidR="00B050F3" w:rsidRPr="005F297F" w14:paraId="69ACDCF7" w14:textId="77777777" w:rsidTr="006048FD">
        <w:tc>
          <w:tcPr>
            <w:tcW w:w="2263" w:type="dxa"/>
          </w:tcPr>
          <w:p w14:paraId="573201A2" w14:textId="77777777" w:rsidR="00B050F3" w:rsidRPr="005F297F" w:rsidRDefault="00B050F3" w:rsidP="006048FD">
            <w:pPr>
              <w:spacing w:before="120" w:line="276" w:lineRule="auto"/>
              <w:jc w:val="both"/>
              <w:rPr>
                <w:rFonts w:cstheme="minorHAnsi"/>
              </w:rPr>
            </w:pPr>
          </w:p>
        </w:tc>
        <w:tc>
          <w:tcPr>
            <w:tcW w:w="3399" w:type="dxa"/>
          </w:tcPr>
          <w:p w14:paraId="34759598" w14:textId="77777777" w:rsidR="00B050F3" w:rsidRPr="005F297F" w:rsidRDefault="00B050F3" w:rsidP="006048FD">
            <w:pPr>
              <w:spacing w:before="120" w:line="276" w:lineRule="auto"/>
              <w:jc w:val="both"/>
              <w:rPr>
                <w:rFonts w:cstheme="minorHAnsi"/>
              </w:rPr>
            </w:pPr>
          </w:p>
        </w:tc>
        <w:tc>
          <w:tcPr>
            <w:tcW w:w="2832" w:type="dxa"/>
          </w:tcPr>
          <w:p w14:paraId="1DF8B7B8" w14:textId="77777777" w:rsidR="00B050F3" w:rsidRPr="005F297F" w:rsidRDefault="00B050F3" w:rsidP="006048FD">
            <w:pPr>
              <w:spacing w:before="120" w:line="276" w:lineRule="auto"/>
              <w:jc w:val="both"/>
              <w:rPr>
                <w:rFonts w:cstheme="minorHAnsi"/>
              </w:rPr>
            </w:pPr>
          </w:p>
        </w:tc>
      </w:tr>
      <w:tr w:rsidR="00B050F3" w:rsidRPr="005F297F" w14:paraId="793C8FCD" w14:textId="77777777" w:rsidTr="006048FD">
        <w:tc>
          <w:tcPr>
            <w:tcW w:w="2263" w:type="dxa"/>
          </w:tcPr>
          <w:p w14:paraId="27A5E8BE" w14:textId="77777777" w:rsidR="00B050F3" w:rsidRPr="005F297F" w:rsidRDefault="00B050F3" w:rsidP="006048FD">
            <w:pPr>
              <w:spacing w:before="120" w:line="276" w:lineRule="auto"/>
              <w:jc w:val="both"/>
              <w:rPr>
                <w:rFonts w:cstheme="minorHAnsi"/>
              </w:rPr>
            </w:pPr>
          </w:p>
        </w:tc>
        <w:tc>
          <w:tcPr>
            <w:tcW w:w="3399" w:type="dxa"/>
          </w:tcPr>
          <w:p w14:paraId="22DE81EA" w14:textId="77777777" w:rsidR="00B050F3" w:rsidRPr="005F297F" w:rsidRDefault="00B050F3" w:rsidP="006048FD">
            <w:pPr>
              <w:spacing w:before="120" w:line="276" w:lineRule="auto"/>
              <w:jc w:val="both"/>
              <w:rPr>
                <w:rFonts w:cstheme="minorHAnsi"/>
              </w:rPr>
            </w:pPr>
          </w:p>
        </w:tc>
        <w:tc>
          <w:tcPr>
            <w:tcW w:w="2832" w:type="dxa"/>
          </w:tcPr>
          <w:p w14:paraId="4D2AAD06" w14:textId="77777777" w:rsidR="00B050F3" w:rsidRPr="005F297F" w:rsidRDefault="00B050F3" w:rsidP="006048FD">
            <w:pPr>
              <w:spacing w:before="120" w:line="276" w:lineRule="auto"/>
              <w:jc w:val="both"/>
              <w:rPr>
                <w:rFonts w:cstheme="minorHAnsi"/>
              </w:rPr>
            </w:pPr>
          </w:p>
        </w:tc>
      </w:tr>
      <w:tr w:rsidR="006048FD" w:rsidRPr="005F297F" w14:paraId="567D2E48" w14:textId="77777777" w:rsidTr="006048FD">
        <w:tc>
          <w:tcPr>
            <w:tcW w:w="2263" w:type="dxa"/>
          </w:tcPr>
          <w:p w14:paraId="23659666" w14:textId="77777777" w:rsidR="006048FD" w:rsidRPr="005F297F" w:rsidRDefault="006048FD" w:rsidP="006048FD">
            <w:pPr>
              <w:spacing w:before="120" w:line="276" w:lineRule="auto"/>
              <w:jc w:val="both"/>
              <w:rPr>
                <w:rFonts w:cstheme="minorHAnsi"/>
              </w:rPr>
            </w:pPr>
          </w:p>
        </w:tc>
        <w:tc>
          <w:tcPr>
            <w:tcW w:w="3399" w:type="dxa"/>
          </w:tcPr>
          <w:p w14:paraId="0B478254" w14:textId="77777777" w:rsidR="006048FD" w:rsidRPr="005F297F" w:rsidRDefault="006048FD" w:rsidP="006048FD">
            <w:pPr>
              <w:spacing w:before="120" w:line="276" w:lineRule="auto"/>
              <w:jc w:val="both"/>
              <w:rPr>
                <w:rFonts w:cstheme="minorHAnsi"/>
              </w:rPr>
            </w:pPr>
          </w:p>
        </w:tc>
        <w:tc>
          <w:tcPr>
            <w:tcW w:w="2832" w:type="dxa"/>
          </w:tcPr>
          <w:p w14:paraId="515F77A1" w14:textId="77777777" w:rsidR="006048FD" w:rsidRPr="005F297F" w:rsidRDefault="006048FD" w:rsidP="006048FD">
            <w:pPr>
              <w:spacing w:before="120" w:line="276" w:lineRule="auto"/>
              <w:jc w:val="both"/>
              <w:rPr>
                <w:rFonts w:cstheme="minorHAnsi"/>
              </w:rPr>
            </w:pPr>
          </w:p>
        </w:tc>
      </w:tr>
      <w:tr w:rsidR="006048FD" w:rsidRPr="005F297F" w14:paraId="62728F97" w14:textId="77777777" w:rsidTr="006048FD">
        <w:tc>
          <w:tcPr>
            <w:tcW w:w="2263" w:type="dxa"/>
          </w:tcPr>
          <w:p w14:paraId="1B657559" w14:textId="77777777" w:rsidR="006048FD" w:rsidRPr="005F297F" w:rsidRDefault="006048FD" w:rsidP="006048FD">
            <w:pPr>
              <w:spacing w:before="120" w:line="276" w:lineRule="auto"/>
              <w:jc w:val="both"/>
              <w:rPr>
                <w:rFonts w:cstheme="minorHAnsi"/>
              </w:rPr>
            </w:pPr>
          </w:p>
        </w:tc>
        <w:tc>
          <w:tcPr>
            <w:tcW w:w="3399" w:type="dxa"/>
          </w:tcPr>
          <w:p w14:paraId="1E538E1B" w14:textId="77777777" w:rsidR="006048FD" w:rsidRPr="005F297F" w:rsidRDefault="006048FD" w:rsidP="006048FD">
            <w:pPr>
              <w:spacing w:before="120" w:line="276" w:lineRule="auto"/>
              <w:jc w:val="both"/>
              <w:rPr>
                <w:rFonts w:cstheme="minorHAnsi"/>
              </w:rPr>
            </w:pPr>
          </w:p>
        </w:tc>
        <w:tc>
          <w:tcPr>
            <w:tcW w:w="2832" w:type="dxa"/>
          </w:tcPr>
          <w:p w14:paraId="067F732F" w14:textId="77777777" w:rsidR="006048FD" w:rsidRPr="005F297F" w:rsidRDefault="006048FD" w:rsidP="006048FD">
            <w:pPr>
              <w:spacing w:before="120" w:line="276" w:lineRule="auto"/>
              <w:jc w:val="both"/>
              <w:rPr>
                <w:rFonts w:cstheme="minorHAnsi"/>
              </w:rPr>
            </w:pPr>
          </w:p>
        </w:tc>
      </w:tr>
      <w:tr w:rsidR="006048FD" w:rsidRPr="005F297F" w14:paraId="3BDFCD42" w14:textId="77777777" w:rsidTr="006048FD">
        <w:tc>
          <w:tcPr>
            <w:tcW w:w="2263" w:type="dxa"/>
          </w:tcPr>
          <w:p w14:paraId="5FFB7290" w14:textId="77777777" w:rsidR="006048FD" w:rsidRPr="005F297F" w:rsidRDefault="006048FD" w:rsidP="006048FD">
            <w:pPr>
              <w:spacing w:before="120" w:line="276" w:lineRule="auto"/>
              <w:jc w:val="both"/>
              <w:rPr>
                <w:rFonts w:cstheme="minorHAnsi"/>
              </w:rPr>
            </w:pPr>
          </w:p>
        </w:tc>
        <w:tc>
          <w:tcPr>
            <w:tcW w:w="3399" w:type="dxa"/>
          </w:tcPr>
          <w:p w14:paraId="4C66EEEE" w14:textId="77777777" w:rsidR="006048FD" w:rsidRPr="005F297F" w:rsidRDefault="006048FD" w:rsidP="006048FD">
            <w:pPr>
              <w:spacing w:before="120" w:line="276" w:lineRule="auto"/>
              <w:jc w:val="both"/>
              <w:rPr>
                <w:rFonts w:cstheme="minorHAnsi"/>
              </w:rPr>
            </w:pPr>
          </w:p>
        </w:tc>
        <w:tc>
          <w:tcPr>
            <w:tcW w:w="2832" w:type="dxa"/>
          </w:tcPr>
          <w:p w14:paraId="23E8FA87" w14:textId="77777777" w:rsidR="006048FD" w:rsidRPr="005F297F" w:rsidRDefault="006048FD" w:rsidP="006048FD">
            <w:pPr>
              <w:spacing w:before="120" w:line="276" w:lineRule="auto"/>
              <w:jc w:val="both"/>
              <w:rPr>
                <w:rFonts w:cstheme="minorHAnsi"/>
              </w:rPr>
            </w:pPr>
          </w:p>
        </w:tc>
      </w:tr>
      <w:tr w:rsidR="006048FD" w:rsidRPr="005F297F" w14:paraId="3A650303" w14:textId="77777777" w:rsidTr="006048FD">
        <w:tc>
          <w:tcPr>
            <w:tcW w:w="2263" w:type="dxa"/>
          </w:tcPr>
          <w:p w14:paraId="13D22A02" w14:textId="77777777" w:rsidR="006048FD" w:rsidRPr="005F297F" w:rsidRDefault="006048FD" w:rsidP="006048FD">
            <w:pPr>
              <w:spacing w:before="120" w:line="276" w:lineRule="auto"/>
              <w:jc w:val="both"/>
              <w:rPr>
                <w:rFonts w:cstheme="minorHAnsi"/>
              </w:rPr>
            </w:pPr>
          </w:p>
        </w:tc>
        <w:tc>
          <w:tcPr>
            <w:tcW w:w="3399" w:type="dxa"/>
          </w:tcPr>
          <w:p w14:paraId="00A237B7" w14:textId="77777777" w:rsidR="006048FD" w:rsidRPr="005F297F" w:rsidRDefault="006048FD" w:rsidP="006048FD">
            <w:pPr>
              <w:spacing w:before="120" w:line="276" w:lineRule="auto"/>
              <w:jc w:val="both"/>
              <w:rPr>
                <w:rFonts w:cstheme="minorHAnsi"/>
              </w:rPr>
            </w:pPr>
          </w:p>
        </w:tc>
        <w:tc>
          <w:tcPr>
            <w:tcW w:w="2832" w:type="dxa"/>
          </w:tcPr>
          <w:p w14:paraId="6A4028AA" w14:textId="77777777" w:rsidR="006048FD" w:rsidRPr="005F297F" w:rsidRDefault="006048FD" w:rsidP="006048FD">
            <w:pPr>
              <w:spacing w:before="120" w:line="276" w:lineRule="auto"/>
              <w:jc w:val="both"/>
              <w:rPr>
                <w:rFonts w:cstheme="minorHAnsi"/>
              </w:rPr>
            </w:pPr>
          </w:p>
        </w:tc>
      </w:tr>
      <w:tr w:rsidR="006048FD" w:rsidRPr="005F297F" w14:paraId="0FBC98BA" w14:textId="77777777" w:rsidTr="006048FD">
        <w:tc>
          <w:tcPr>
            <w:tcW w:w="2263" w:type="dxa"/>
          </w:tcPr>
          <w:p w14:paraId="503155B1" w14:textId="77777777" w:rsidR="006048FD" w:rsidRPr="005F297F" w:rsidRDefault="006048FD" w:rsidP="006048FD">
            <w:pPr>
              <w:spacing w:before="120" w:line="276" w:lineRule="auto"/>
              <w:jc w:val="both"/>
              <w:rPr>
                <w:rFonts w:cstheme="minorHAnsi"/>
              </w:rPr>
            </w:pPr>
          </w:p>
        </w:tc>
        <w:tc>
          <w:tcPr>
            <w:tcW w:w="3399" w:type="dxa"/>
          </w:tcPr>
          <w:p w14:paraId="0FB14BB5" w14:textId="77777777" w:rsidR="006048FD" w:rsidRPr="005F297F" w:rsidRDefault="006048FD" w:rsidP="006048FD">
            <w:pPr>
              <w:spacing w:before="120" w:line="276" w:lineRule="auto"/>
              <w:jc w:val="both"/>
              <w:rPr>
                <w:rFonts w:cstheme="minorHAnsi"/>
              </w:rPr>
            </w:pPr>
          </w:p>
        </w:tc>
        <w:tc>
          <w:tcPr>
            <w:tcW w:w="2832" w:type="dxa"/>
          </w:tcPr>
          <w:p w14:paraId="1FB22184" w14:textId="77777777" w:rsidR="006048FD" w:rsidRPr="005F297F" w:rsidRDefault="006048FD" w:rsidP="006048FD">
            <w:pPr>
              <w:spacing w:before="120" w:line="276" w:lineRule="auto"/>
              <w:jc w:val="both"/>
              <w:rPr>
                <w:rFonts w:cstheme="minorHAnsi"/>
              </w:rPr>
            </w:pPr>
          </w:p>
        </w:tc>
      </w:tr>
      <w:tr w:rsidR="006048FD" w:rsidRPr="005F297F" w14:paraId="0B317A9E" w14:textId="77777777" w:rsidTr="006048FD">
        <w:tc>
          <w:tcPr>
            <w:tcW w:w="2263" w:type="dxa"/>
          </w:tcPr>
          <w:p w14:paraId="513BCDE5" w14:textId="77777777" w:rsidR="006048FD" w:rsidRPr="005F297F" w:rsidRDefault="006048FD" w:rsidP="006048FD">
            <w:pPr>
              <w:spacing w:before="120" w:line="276" w:lineRule="auto"/>
              <w:jc w:val="both"/>
              <w:rPr>
                <w:rFonts w:ascii="Arial" w:hAnsi="Arial" w:cs="Arial"/>
              </w:rPr>
            </w:pPr>
          </w:p>
        </w:tc>
        <w:tc>
          <w:tcPr>
            <w:tcW w:w="3399" w:type="dxa"/>
          </w:tcPr>
          <w:p w14:paraId="7E56981D" w14:textId="77777777" w:rsidR="006048FD" w:rsidRPr="005F297F" w:rsidRDefault="006048FD" w:rsidP="006048FD">
            <w:pPr>
              <w:spacing w:before="120" w:line="276" w:lineRule="auto"/>
              <w:jc w:val="both"/>
              <w:rPr>
                <w:rFonts w:ascii="Arial" w:hAnsi="Arial" w:cs="Arial"/>
              </w:rPr>
            </w:pPr>
          </w:p>
        </w:tc>
        <w:tc>
          <w:tcPr>
            <w:tcW w:w="2832" w:type="dxa"/>
          </w:tcPr>
          <w:p w14:paraId="5B168D24" w14:textId="77777777" w:rsidR="006048FD" w:rsidRPr="005F297F" w:rsidRDefault="006048FD" w:rsidP="006048FD">
            <w:pPr>
              <w:spacing w:before="120" w:line="276" w:lineRule="auto"/>
              <w:jc w:val="both"/>
              <w:rPr>
                <w:rFonts w:ascii="Arial" w:hAnsi="Arial" w:cs="Arial"/>
              </w:rPr>
            </w:pPr>
          </w:p>
        </w:tc>
      </w:tr>
      <w:tr w:rsidR="006048FD" w:rsidRPr="005F297F" w14:paraId="14750BD7" w14:textId="77777777" w:rsidTr="006048FD">
        <w:tc>
          <w:tcPr>
            <w:tcW w:w="2263" w:type="dxa"/>
          </w:tcPr>
          <w:p w14:paraId="0439BF64" w14:textId="77777777" w:rsidR="006048FD" w:rsidRPr="005F297F" w:rsidRDefault="006048FD" w:rsidP="006048FD">
            <w:pPr>
              <w:spacing w:before="120" w:line="276" w:lineRule="auto"/>
              <w:jc w:val="both"/>
              <w:rPr>
                <w:rFonts w:ascii="Arial" w:hAnsi="Arial" w:cs="Arial"/>
                <w:b/>
              </w:rPr>
            </w:pPr>
            <w:r w:rsidRPr="005F297F">
              <w:rPr>
                <w:rFonts w:ascii="Arial" w:hAnsi="Arial" w:cs="Arial"/>
                <w:b/>
              </w:rPr>
              <w:t>TOTAL</w:t>
            </w:r>
          </w:p>
        </w:tc>
        <w:tc>
          <w:tcPr>
            <w:tcW w:w="3399" w:type="dxa"/>
          </w:tcPr>
          <w:p w14:paraId="36701773" w14:textId="77777777" w:rsidR="006048FD" w:rsidRPr="005F297F" w:rsidRDefault="006048FD" w:rsidP="006048FD">
            <w:pPr>
              <w:spacing w:before="120" w:line="276" w:lineRule="auto"/>
              <w:jc w:val="both"/>
              <w:rPr>
                <w:rFonts w:ascii="Arial" w:hAnsi="Arial" w:cs="Arial"/>
              </w:rPr>
            </w:pPr>
          </w:p>
        </w:tc>
        <w:tc>
          <w:tcPr>
            <w:tcW w:w="2832" w:type="dxa"/>
          </w:tcPr>
          <w:p w14:paraId="0540727E" w14:textId="77777777" w:rsidR="006048FD" w:rsidRPr="005F297F" w:rsidRDefault="006048FD" w:rsidP="006048FD">
            <w:pPr>
              <w:spacing w:before="120" w:line="276" w:lineRule="auto"/>
              <w:jc w:val="both"/>
              <w:rPr>
                <w:rFonts w:ascii="Arial" w:hAnsi="Arial" w:cs="Arial"/>
              </w:rPr>
            </w:pPr>
          </w:p>
        </w:tc>
      </w:tr>
    </w:tbl>
    <w:p w14:paraId="6953F631" w14:textId="77777777" w:rsidR="00B050F3" w:rsidRPr="005F297F" w:rsidRDefault="001E094F" w:rsidP="00B050F3">
      <w:pPr>
        <w:jc w:val="both"/>
        <w:rPr>
          <w:rFonts w:ascii="Arial" w:hAnsi="Arial" w:cs="Arial"/>
        </w:rPr>
      </w:pPr>
      <w:r w:rsidRPr="005F297F">
        <w:rPr>
          <w:rFonts w:ascii="Arial" w:hAnsi="Arial" w:cs="Arial"/>
        </w:rPr>
        <w:t>(*</w:t>
      </w:r>
      <w:proofErr w:type="gramStart"/>
      <w:r w:rsidRPr="005F297F">
        <w:rPr>
          <w:rFonts w:ascii="Arial" w:hAnsi="Arial" w:cs="Arial"/>
        </w:rPr>
        <w:t xml:space="preserve">) </w:t>
      </w:r>
      <w:r w:rsidR="006048FD" w:rsidRPr="005F297F">
        <w:rPr>
          <w:rFonts w:ascii="Arial" w:hAnsi="Arial" w:cs="Arial"/>
        </w:rPr>
        <w:t xml:space="preserve"> En</w:t>
      </w:r>
      <w:proofErr w:type="gramEnd"/>
      <w:r w:rsidR="006048FD" w:rsidRPr="005F297F">
        <w:rPr>
          <w:rFonts w:ascii="Arial" w:hAnsi="Arial" w:cs="Arial"/>
        </w:rPr>
        <w:t xml:space="preserve"> caso de ulteriores transferencias, el patrón del remolcador donante entregará el original del informe de mortalidad al patrón del remolcador receptor</w:t>
      </w:r>
    </w:p>
    <w:sectPr w:rsidR="00B050F3" w:rsidRPr="005F297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76A"/>
    <w:rsid w:val="00074785"/>
    <w:rsid w:val="00164800"/>
    <w:rsid w:val="001E094F"/>
    <w:rsid w:val="001E7E83"/>
    <w:rsid w:val="00350752"/>
    <w:rsid w:val="005F297F"/>
    <w:rsid w:val="006048FD"/>
    <w:rsid w:val="0076776A"/>
    <w:rsid w:val="008A14C7"/>
    <w:rsid w:val="00B050F3"/>
    <w:rsid w:val="00C30F5C"/>
    <w:rsid w:val="00DC537A"/>
    <w:rsid w:val="00F66E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20F72"/>
  <w15:chartTrackingRefBased/>
  <w15:docId w15:val="{088A8BA0-9353-4CBF-AF51-AA48E1D37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0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64800"/>
    <w:pPr>
      <w:spacing w:after="0" w:line="240" w:lineRule="auto"/>
    </w:pPr>
  </w:style>
  <w:style w:type="character" w:styleId="Refdecomentario">
    <w:name w:val="annotation reference"/>
    <w:basedOn w:val="Fuentedeprrafopredeter"/>
    <w:uiPriority w:val="99"/>
    <w:semiHidden/>
    <w:unhideWhenUsed/>
    <w:rsid w:val="00164800"/>
    <w:rPr>
      <w:sz w:val="16"/>
      <w:szCs w:val="16"/>
    </w:rPr>
  </w:style>
  <w:style w:type="paragraph" w:styleId="Textocomentario">
    <w:name w:val="annotation text"/>
    <w:basedOn w:val="Normal"/>
    <w:link w:val="TextocomentarioCar"/>
    <w:uiPriority w:val="99"/>
    <w:unhideWhenUsed/>
    <w:rsid w:val="00164800"/>
    <w:pPr>
      <w:spacing w:line="240" w:lineRule="auto"/>
    </w:pPr>
    <w:rPr>
      <w:sz w:val="20"/>
      <w:szCs w:val="20"/>
    </w:rPr>
  </w:style>
  <w:style w:type="character" w:customStyle="1" w:styleId="TextocomentarioCar">
    <w:name w:val="Texto comentario Car"/>
    <w:basedOn w:val="Fuentedeprrafopredeter"/>
    <w:link w:val="Textocomentario"/>
    <w:uiPriority w:val="99"/>
    <w:rsid w:val="00164800"/>
    <w:rPr>
      <w:sz w:val="20"/>
      <w:szCs w:val="20"/>
    </w:rPr>
  </w:style>
  <w:style w:type="paragraph" w:styleId="Asuntodelcomentario">
    <w:name w:val="annotation subject"/>
    <w:basedOn w:val="Textocomentario"/>
    <w:next w:val="Textocomentario"/>
    <w:link w:val="AsuntodelcomentarioCar"/>
    <w:uiPriority w:val="99"/>
    <w:semiHidden/>
    <w:unhideWhenUsed/>
    <w:rsid w:val="00164800"/>
    <w:rPr>
      <w:b/>
      <w:bCs/>
    </w:rPr>
  </w:style>
  <w:style w:type="character" w:customStyle="1" w:styleId="AsuntodelcomentarioCar">
    <w:name w:val="Asunto del comentario Car"/>
    <w:basedOn w:val="TextocomentarioCar"/>
    <w:link w:val="Asuntodelcomentario"/>
    <w:uiPriority w:val="99"/>
    <w:semiHidden/>
    <w:rsid w:val="001648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964</Words>
  <Characters>5303</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Fernández Despiau, Estrella</dc:creator>
  <cp:keywords/>
  <dc:description/>
  <cp:lastModifiedBy>inspeatún</cp:lastModifiedBy>
  <cp:revision>11</cp:revision>
  <dcterms:created xsi:type="dcterms:W3CDTF">2022-04-04T11:42:00Z</dcterms:created>
  <dcterms:modified xsi:type="dcterms:W3CDTF">2024-03-27T07:02:00Z</dcterms:modified>
</cp:coreProperties>
</file>